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78" w:rsidRDefault="00947A9A">
      <w:r>
        <w:rPr>
          <w:rFonts w:ascii="Verdana" w:hAnsi="Verdana"/>
          <w:noProof/>
          <w:color w:val="3966BF"/>
          <w:lang w:eastAsia="en-GB"/>
        </w:rPr>
        <w:t xml:space="preserve">                               </w:t>
      </w:r>
      <w:r>
        <w:rPr>
          <w:rFonts w:ascii="Verdana" w:hAnsi="Verdana"/>
          <w:noProof/>
          <w:color w:val="3966BF"/>
          <w:lang w:eastAsia="en-GB"/>
        </w:rPr>
        <w:drawing>
          <wp:inline distT="0" distB="0" distL="0" distR="0" wp14:anchorId="4B1BB527" wp14:editId="01016AEB">
            <wp:extent cx="2009775" cy="561975"/>
            <wp:effectExtent l="0" t="0" r="9525" b="9525"/>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947A9A" w:rsidRDefault="00947A9A"/>
    <w:p w:rsidR="00947A9A" w:rsidRDefault="00947A9A"/>
    <w:p w:rsidR="00947A9A" w:rsidRDefault="00947A9A"/>
    <w:p w:rsidR="00947A9A" w:rsidRDefault="00947A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47A9A" w:rsidRPr="00BB2350" w:rsidTr="00947A9A">
        <w:tc>
          <w:tcPr>
            <w:tcW w:w="9242" w:type="dxa"/>
            <w:shd w:val="clear" w:color="auto" w:fill="C6D9F1" w:themeFill="text2" w:themeFillTint="33"/>
          </w:tcPr>
          <w:p w:rsidR="00947A9A" w:rsidRDefault="00947A9A" w:rsidP="00CE4094">
            <w:pPr>
              <w:jc w:val="center"/>
              <w:rPr>
                <w:rFonts w:ascii="Century Gothic" w:hAnsi="Century Gothic" w:cs="Arial"/>
                <w:sz w:val="20"/>
              </w:rPr>
            </w:pPr>
          </w:p>
          <w:p w:rsidR="00947A9A" w:rsidRDefault="00947A9A" w:rsidP="00947A9A">
            <w:pPr>
              <w:shd w:val="clear" w:color="auto" w:fill="C6D9F1" w:themeFill="text2" w:themeFillTint="33"/>
              <w:jc w:val="center"/>
              <w:rPr>
                <w:rFonts w:ascii="Century Gothic" w:hAnsi="Century Gothic" w:cs="Arial"/>
                <w:sz w:val="20"/>
              </w:rPr>
            </w:pPr>
          </w:p>
          <w:p w:rsidR="00221F12" w:rsidRPr="00221F12" w:rsidRDefault="00221F12"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David Lewis School</w:t>
            </w:r>
          </w:p>
          <w:p w:rsidR="00947A9A" w:rsidRPr="00221F12" w:rsidRDefault="00947A9A"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 xml:space="preserve">Personal, Social and Health Education &amp; </w:t>
            </w:r>
          </w:p>
          <w:p w:rsidR="00947A9A" w:rsidRPr="00221F12" w:rsidRDefault="00947A9A"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Sex and Relationship Education Policy</w:t>
            </w:r>
          </w:p>
          <w:p w:rsidR="00947A9A" w:rsidRPr="003E0AFB" w:rsidRDefault="00947A9A" w:rsidP="00947A9A">
            <w:pPr>
              <w:shd w:val="clear" w:color="auto" w:fill="C6D9F1" w:themeFill="text2" w:themeFillTint="33"/>
              <w:jc w:val="center"/>
              <w:rPr>
                <w:rFonts w:ascii="Century Gothic" w:hAnsi="Century Gothic" w:cs="Arial"/>
                <w:b/>
                <w:szCs w:val="28"/>
              </w:rPr>
            </w:pPr>
          </w:p>
          <w:p w:rsidR="00947A9A" w:rsidRPr="00BB2350" w:rsidRDefault="00947A9A" w:rsidP="00CE4094">
            <w:pPr>
              <w:jc w:val="center"/>
              <w:rPr>
                <w:rFonts w:ascii="Century Gothic" w:hAnsi="Century Gothic" w:cs="Arial"/>
                <w:sz w:val="20"/>
              </w:rPr>
            </w:pPr>
          </w:p>
        </w:tc>
      </w:tr>
    </w:tbl>
    <w:p w:rsidR="00947A9A" w:rsidRDefault="00947A9A"/>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947A9A" w:rsidRDefault="00947A9A" w:rsidP="00947A9A">
      <w:pPr>
        <w:rPr>
          <w:rFonts w:ascii="Century Gothic" w:hAnsi="Century Gothic" w:cs="Arial"/>
          <w:b/>
          <w:sz w:val="22"/>
          <w:szCs w:val="22"/>
        </w:rPr>
      </w:pPr>
    </w:p>
    <w:p w:rsidR="00947A9A" w:rsidRPr="0071211B" w:rsidRDefault="00947A9A" w:rsidP="00947A9A">
      <w:pPr>
        <w:jc w:val="center"/>
        <w:rPr>
          <w:rFonts w:ascii="Century Gothic" w:hAnsi="Century Gothic" w:cs="Arial"/>
          <w:sz w:val="22"/>
          <w:szCs w:val="22"/>
        </w:rPr>
      </w:pPr>
    </w:p>
    <w:p w:rsidR="00947A9A" w:rsidRPr="0071211B" w:rsidRDefault="00947A9A" w:rsidP="00947A9A">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w:t>
      </w:r>
      <w:r w:rsidR="001C7E12">
        <w:rPr>
          <w:rFonts w:ascii="Century Gothic" w:hAnsi="Century Gothic" w:cs="Arial"/>
          <w:b/>
          <w:sz w:val="22"/>
          <w:szCs w:val="22"/>
        </w:rPr>
        <w:t xml:space="preserve"> Director of Education-</w:t>
      </w:r>
      <w:r>
        <w:rPr>
          <w:rFonts w:ascii="Century Gothic" w:hAnsi="Century Gothic" w:cs="Arial"/>
          <w:b/>
          <w:sz w:val="22"/>
          <w:szCs w:val="22"/>
        </w:rPr>
        <w:t xml:space="preserve"> PSHE</w:t>
      </w:r>
      <w:r w:rsidR="001C7E12">
        <w:rPr>
          <w:rFonts w:ascii="Century Gothic" w:hAnsi="Century Gothic" w:cs="Arial"/>
          <w:b/>
          <w:sz w:val="22"/>
          <w:szCs w:val="22"/>
        </w:rPr>
        <w:t>/SRE</w:t>
      </w:r>
      <w:r>
        <w:rPr>
          <w:rFonts w:ascii="Century Gothic" w:hAnsi="Century Gothic" w:cs="Arial"/>
          <w:b/>
          <w:sz w:val="22"/>
          <w:szCs w:val="22"/>
        </w:rPr>
        <w:t xml:space="preserve"> Curriculum Lead</w:t>
      </w:r>
    </w:p>
    <w:p w:rsidR="00947A9A" w:rsidRPr="0071211B" w:rsidRDefault="00947A9A" w:rsidP="00947A9A">
      <w:pPr>
        <w:rPr>
          <w:rFonts w:ascii="Century Gothic" w:hAnsi="Century Gothic" w:cs="Arial"/>
          <w:bCs/>
          <w:sz w:val="22"/>
          <w:szCs w:val="22"/>
        </w:rPr>
      </w:pPr>
      <w:r>
        <w:rPr>
          <w:rFonts w:ascii="Century Gothic" w:hAnsi="Century Gothic" w:cs="Arial"/>
          <w:bCs/>
          <w:sz w:val="22"/>
          <w:szCs w:val="22"/>
        </w:rPr>
        <w:tab/>
      </w:r>
    </w:p>
    <w:p w:rsidR="00947A9A" w:rsidRPr="0071211B" w:rsidRDefault="00947A9A" w:rsidP="00947A9A">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947A9A" w:rsidRDefault="00947A9A" w:rsidP="00947A9A">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947A9A" w:rsidRPr="0071211B"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Pr="0071211B" w:rsidRDefault="00947A9A" w:rsidP="00947A9A">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947A9A" w:rsidRDefault="00947A9A" w:rsidP="00CE4094">
            <w:pPr>
              <w:jc w:val="both"/>
              <w:rPr>
                <w:rFonts w:ascii="Century Gothic" w:hAnsi="Century Gothic" w:cs="Arial"/>
                <w:b/>
                <w:sz w:val="22"/>
                <w:szCs w:val="22"/>
              </w:rPr>
            </w:pP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A82179" w:rsidP="00CB6540">
            <w:pPr>
              <w:jc w:val="both"/>
              <w:rPr>
                <w:rFonts w:ascii="Century Gothic" w:hAnsi="Century Gothic" w:cs="Arial"/>
                <w:sz w:val="22"/>
                <w:szCs w:val="22"/>
              </w:rPr>
            </w:pPr>
            <w:r>
              <w:rPr>
                <w:rFonts w:ascii="Century Gothic" w:hAnsi="Century Gothic" w:cs="Arial"/>
                <w:sz w:val="22"/>
                <w:szCs w:val="22"/>
              </w:rPr>
              <w:t>September 2022</w:t>
            </w:r>
          </w:p>
        </w:tc>
      </w:tr>
      <w:tr w:rsidR="00087CF0" w:rsidRPr="0071211B" w:rsidTr="001C7E12">
        <w:trPr>
          <w:trHeight w:val="405"/>
        </w:trPr>
        <w:tc>
          <w:tcPr>
            <w:tcW w:w="6345" w:type="dxa"/>
            <w:vMerge w:val="restart"/>
            <w:shd w:val="clear" w:color="auto" w:fill="E5DFEC" w:themeFill="accent4" w:themeFillTint="33"/>
            <w:vAlign w:val="center"/>
          </w:tcPr>
          <w:p w:rsidR="00087CF0" w:rsidRDefault="00087CF0" w:rsidP="00CE4094">
            <w:pPr>
              <w:jc w:val="both"/>
              <w:rPr>
                <w:rFonts w:ascii="Century Gothic" w:hAnsi="Century Gothic" w:cs="Arial"/>
                <w:b/>
                <w:sz w:val="22"/>
                <w:szCs w:val="22"/>
              </w:rPr>
            </w:pPr>
          </w:p>
          <w:p w:rsidR="00087CF0" w:rsidRDefault="00087CF0" w:rsidP="00CE4094">
            <w:pPr>
              <w:jc w:val="both"/>
              <w:rPr>
                <w:rFonts w:ascii="Century Gothic" w:hAnsi="Century Gothic" w:cs="Arial"/>
                <w:b/>
                <w:sz w:val="22"/>
                <w:szCs w:val="22"/>
              </w:rPr>
            </w:pPr>
            <w:r w:rsidRPr="0071211B">
              <w:rPr>
                <w:rFonts w:ascii="Century Gothic" w:hAnsi="Century Gothic" w:cs="Arial"/>
                <w:b/>
                <w:sz w:val="22"/>
                <w:szCs w:val="22"/>
              </w:rPr>
              <w:t>Policy Review Date:</w:t>
            </w:r>
            <w:r w:rsidR="00A82179">
              <w:rPr>
                <w:rFonts w:ascii="Century Gothic" w:hAnsi="Century Gothic" w:cs="Arial"/>
                <w:b/>
                <w:sz w:val="22"/>
                <w:szCs w:val="22"/>
              </w:rPr>
              <w:t xml:space="preserve"> Yearly</w:t>
            </w:r>
          </w:p>
          <w:p w:rsidR="00087CF0" w:rsidRPr="0071211B" w:rsidRDefault="00087CF0" w:rsidP="00CE4094">
            <w:pPr>
              <w:jc w:val="both"/>
              <w:rPr>
                <w:rFonts w:ascii="Century Gothic" w:hAnsi="Century Gothic" w:cs="Arial"/>
                <w:b/>
                <w:sz w:val="22"/>
                <w:szCs w:val="22"/>
              </w:rPr>
            </w:pPr>
          </w:p>
        </w:tc>
        <w:tc>
          <w:tcPr>
            <w:tcW w:w="1471" w:type="dxa"/>
            <w:shd w:val="clear" w:color="auto" w:fill="D9D9D9" w:themeFill="background1" w:themeFillShade="D9"/>
          </w:tcPr>
          <w:p w:rsidR="00087CF0" w:rsidRPr="001C7E12" w:rsidRDefault="00A82179" w:rsidP="00CE4094">
            <w:pPr>
              <w:jc w:val="both"/>
              <w:rPr>
                <w:rFonts w:ascii="Century Gothic" w:hAnsi="Century Gothic" w:cs="Arial"/>
                <w:sz w:val="22"/>
                <w:szCs w:val="22"/>
              </w:rPr>
            </w:pPr>
            <w:r>
              <w:rPr>
                <w:rFonts w:ascii="Century Gothic" w:hAnsi="Century Gothic" w:cs="Arial"/>
                <w:sz w:val="22"/>
                <w:szCs w:val="22"/>
              </w:rPr>
              <w:t>Sept 2023</w:t>
            </w:r>
          </w:p>
        </w:tc>
        <w:tc>
          <w:tcPr>
            <w:tcW w:w="1472" w:type="dxa"/>
            <w:shd w:val="clear" w:color="auto" w:fill="D9D9D9" w:themeFill="background1" w:themeFillShade="D9"/>
          </w:tcPr>
          <w:p w:rsidR="00087CF0" w:rsidRPr="001C7E12" w:rsidRDefault="00087CF0" w:rsidP="00CE4094">
            <w:pPr>
              <w:jc w:val="both"/>
              <w:rPr>
                <w:rFonts w:ascii="Century Gothic" w:hAnsi="Century Gothic" w:cs="Arial"/>
                <w:sz w:val="22"/>
                <w:szCs w:val="22"/>
              </w:rPr>
            </w:pPr>
          </w:p>
        </w:tc>
      </w:tr>
      <w:tr w:rsidR="00087CF0" w:rsidRPr="0071211B" w:rsidTr="00F97235">
        <w:trPr>
          <w:trHeight w:val="405"/>
        </w:trPr>
        <w:tc>
          <w:tcPr>
            <w:tcW w:w="6345" w:type="dxa"/>
            <w:vMerge/>
            <w:shd w:val="clear" w:color="auto" w:fill="E5DFEC" w:themeFill="accent4" w:themeFillTint="33"/>
            <w:vAlign w:val="center"/>
          </w:tcPr>
          <w:p w:rsidR="00087CF0" w:rsidRDefault="00087CF0" w:rsidP="00CE4094">
            <w:pPr>
              <w:jc w:val="both"/>
              <w:rPr>
                <w:rFonts w:ascii="Century Gothic" w:hAnsi="Century Gothic" w:cs="Arial"/>
                <w:b/>
                <w:sz w:val="22"/>
                <w:szCs w:val="22"/>
              </w:rPr>
            </w:pPr>
          </w:p>
        </w:tc>
        <w:tc>
          <w:tcPr>
            <w:tcW w:w="1471"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c>
          <w:tcPr>
            <w:tcW w:w="1472"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r>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532CBD" w:rsidP="00CE4094">
            <w:pPr>
              <w:jc w:val="both"/>
              <w:rPr>
                <w:rFonts w:ascii="Century Gothic" w:hAnsi="Century Gothic" w:cs="Arial"/>
                <w:sz w:val="22"/>
                <w:szCs w:val="22"/>
              </w:rPr>
            </w:pPr>
            <w:r>
              <w:rPr>
                <w:rFonts w:ascii="Century Gothic" w:hAnsi="Century Gothic" w:cs="Arial"/>
                <w:sz w:val="22"/>
                <w:szCs w:val="22"/>
              </w:rPr>
              <w:t>Education &amp; Life Skills</w:t>
            </w:r>
          </w:p>
        </w:tc>
      </w:tr>
    </w:tbl>
    <w:p w:rsidR="00947A9A" w:rsidRDefault="00947A9A"/>
    <w:p w:rsidR="00532CBD" w:rsidRDefault="00532CBD"/>
    <w:p w:rsidR="00532CBD" w:rsidRDefault="00532CBD"/>
    <w:p w:rsidR="00532CBD" w:rsidRDefault="00532CBD"/>
    <w:p w:rsidR="00532CBD" w:rsidRDefault="00532CBD"/>
    <w:p w:rsidR="00532CBD" w:rsidRDefault="00532CBD"/>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center"/>
        <w:rPr>
          <w:rFonts w:ascii="Century Gothic" w:hAnsi="Century Gothic" w:cs="Arial"/>
          <w:b/>
          <w:sz w:val="22"/>
          <w:szCs w:val="22"/>
        </w:rPr>
      </w:pPr>
      <w:r w:rsidRPr="00532CBD">
        <w:rPr>
          <w:rFonts w:ascii="Century Gothic" w:hAnsi="Century Gothic" w:cs="Arial"/>
          <w:b/>
          <w:sz w:val="22"/>
          <w:szCs w:val="22"/>
        </w:rPr>
        <w:t>Contents</w:t>
      </w:r>
    </w:p>
    <w:p w:rsidR="00532CBD" w:rsidRPr="00532CBD" w:rsidRDefault="00532CBD" w:rsidP="00532CBD">
      <w:pPr>
        <w:jc w:val="right"/>
        <w:rPr>
          <w:rFonts w:ascii="Century Gothic" w:hAnsi="Century Gothic" w:cs="Arial"/>
          <w:b/>
          <w:sz w:val="22"/>
          <w:szCs w:val="22"/>
        </w:rPr>
      </w:pPr>
    </w:p>
    <w:p w:rsidR="00532CBD" w:rsidRPr="00532CBD" w:rsidRDefault="00532CBD" w:rsidP="00532CBD">
      <w:pPr>
        <w:jc w:val="right"/>
        <w:rPr>
          <w:rFonts w:ascii="Century Gothic" w:hAnsi="Century Gothic" w:cs="Arial"/>
          <w:b/>
          <w:sz w:val="22"/>
          <w:szCs w:val="22"/>
        </w:rPr>
      </w:pPr>
      <w:r w:rsidRPr="00532CBD">
        <w:rPr>
          <w:rFonts w:ascii="Century Gothic" w:hAnsi="Century Gothic" w:cs="Arial"/>
          <w:b/>
          <w:sz w:val="22"/>
          <w:szCs w:val="22"/>
        </w:rPr>
        <w:t>Page</w:t>
      </w:r>
    </w:p>
    <w:p w:rsidR="00532CBD" w:rsidRPr="00532CBD" w:rsidRDefault="00532CBD" w:rsidP="00532CBD">
      <w:pPr>
        <w:jc w:val="right"/>
        <w:rPr>
          <w:rFonts w:ascii="Century Gothic" w:hAnsi="Century Gothic" w:cs="Arial"/>
          <w:b/>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Introduction</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3</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David Lewis Centre Ethos</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3</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Values Framework</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3</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Vision for all learners</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4</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Safeguarding</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4</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Confidentiality</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5</w:t>
      </w: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532CBD" w:rsidRDefault="00532CBD" w:rsidP="00532CBD">
      <w:pPr>
        <w:rPr>
          <w:rFonts w:ascii="Century Gothic" w:hAnsi="Century Gothic" w:cs="Arial"/>
          <w:b/>
          <w:sz w:val="22"/>
          <w:szCs w:val="22"/>
        </w:rPr>
      </w:pPr>
      <w:r w:rsidRPr="00532CBD">
        <w:rPr>
          <w:rFonts w:ascii="Century Gothic" w:hAnsi="Century Gothic" w:cs="Arial"/>
          <w:b/>
          <w:sz w:val="22"/>
          <w:szCs w:val="22"/>
        </w:rPr>
        <w:t>Introduction</w:t>
      </w:r>
    </w:p>
    <w:p w:rsidR="00CB6540" w:rsidRPr="00532CBD" w:rsidRDefault="00CB6540" w:rsidP="00532CBD">
      <w:pPr>
        <w:rPr>
          <w:rFonts w:ascii="Century Gothic" w:hAnsi="Century Gothic" w:cs="Arial"/>
          <w:b/>
          <w:sz w:val="22"/>
          <w:szCs w:val="22"/>
        </w:rPr>
      </w:pP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At David Lewis, </w:t>
      </w:r>
      <w:r w:rsidR="00D56665">
        <w:rPr>
          <w:rFonts w:ascii="Century Gothic" w:eastAsia="Calibri" w:hAnsi="Century Gothic"/>
          <w:kern w:val="0"/>
          <w:sz w:val="20"/>
        </w:rPr>
        <w:t xml:space="preserve">children’s and </w:t>
      </w:r>
      <w:r w:rsidRPr="00CB6540">
        <w:rPr>
          <w:rFonts w:ascii="Century Gothic" w:eastAsia="Calibri" w:hAnsi="Century Gothic"/>
          <w:kern w:val="0"/>
          <w:sz w:val="20"/>
        </w:rPr>
        <w:t>young people’s wellbeing, happiness and safety are our first priority, and Personal Social, Health Education (PSHE) and Sex, Relationship Education (SRE) are the key vehicle through which we share this with our students. Lessons will be individualised and as appropriate for all our learners.</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We regard PSHE/SRE as an important, integral component of the whole curriculum; it is central to our approach and at the core of our ethos. Our PSHE/SRE curriculum is broad and balanced, ensuring that it:  Promotes the spiritual, moral, cultural, mental and physical development of our </w:t>
      </w:r>
      <w:r w:rsidR="00D56665">
        <w:rPr>
          <w:rFonts w:ascii="Century Gothic" w:eastAsia="Calibri" w:hAnsi="Century Gothic"/>
          <w:kern w:val="0"/>
          <w:sz w:val="20"/>
        </w:rPr>
        <w:t xml:space="preserve">children and </w:t>
      </w:r>
      <w:r w:rsidRPr="00CB6540">
        <w:rPr>
          <w:rFonts w:ascii="Century Gothic" w:eastAsia="Calibri" w:hAnsi="Century Gothic"/>
          <w:kern w:val="0"/>
          <w:sz w:val="20"/>
        </w:rPr>
        <w:t xml:space="preserve">young people and of society. Prepares our children </w:t>
      </w:r>
      <w:r w:rsidR="00D56665">
        <w:rPr>
          <w:rFonts w:ascii="Century Gothic" w:eastAsia="Calibri" w:hAnsi="Century Gothic"/>
          <w:kern w:val="0"/>
          <w:sz w:val="20"/>
        </w:rPr>
        <w:t xml:space="preserve">and young people </w:t>
      </w:r>
      <w:r w:rsidRPr="00CB6540">
        <w:rPr>
          <w:rFonts w:ascii="Century Gothic" w:eastAsia="Calibri" w:hAnsi="Century Gothic"/>
          <w:kern w:val="0"/>
          <w:sz w:val="20"/>
        </w:rPr>
        <w:t xml:space="preserve">for the opportunities, responsibilities and experiences they already face and for adult life. Provides information about keeping healthy and safe, emotionally and physically. Encourages our students to understand how all actions have consequences and how they can make informed choices to help themselves, others and the environment. </w:t>
      </w: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Why it should be taught</w:t>
      </w:r>
    </w:p>
    <w:p w:rsidR="00CB6540" w:rsidRPr="00CB6540" w:rsidRDefault="00D56665"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Children and y</w:t>
      </w:r>
      <w:r w:rsidR="00CB6540" w:rsidRPr="00CB6540">
        <w:rPr>
          <w:rFonts w:ascii="Century Gothic" w:eastAsia="Calibri" w:hAnsi="Century Gothic"/>
          <w:bCs/>
          <w:kern w:val="0"/>
          <w:sz w:val="20"/>
        </w:rPr>
        <w:t>oung People attitudes to themselves and each other must be healthy if effective learning is to take place.  The emphasis is on encouraging individual responsibility, awareness and informed decision making to promote healthy lifestyles. </w:t>
      </w:r>
    </w:p>
    <w:p w:rsidR="00CB6540" w:rsidRPr="00CB6540" w:rsidRDefault="00CB6540" w:rsidP="00CB6540">
      <w:p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 xml:space="preserve">Our aims for all </w:t>
      </w:r>
      <w:r w:rsidR="00D56665">
        <w:rPr>
          <w:rFonts w:ascii="Century Gothic" w:eastAsia="Calibri" w:hAnsi="Century Gothic"/>
          <w:bCs/>
          <w:kern w:val="0"/>
          <w:sz w:val="20"/>
        </w:rPr>
        <w:t>c</w:t>
      </w:r>
      <w:r w:rsidR="00221F12">
        <w:rPr>
          <w:rFonts w:ascii="Century Gothic" w:eastAsia="Calibri" w:hAnsi="Century Gothic"/>
          <w:bCs/>
          <w:kern w:val="0"/>
          <w:sz w:val="20"/>
        </w:rPr>
        <w:t xml:space="preserve">hildren and </w:t>
      </w:r>
      <w:r w:rsidRPr="00CB6540">
        <w:rPr>
          <w:rFonts w:ascii="Century Gothic" w:eastAsia="Calibri" w:hAnsi="Century Gothic"/>
          <w:bCs/>
          <w:kern w:val="0"/>
          <w:sz w:val="20"/>
        </w:rPr>
        <w:t>young people are that:</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should be safe, secure and happy in school and at home or in their community</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have equal access to the curriculum, regardless of ability, gender, race or religion</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develop an appreciation of the importance of responsible behaviour, courtesy and consideration of others</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 xml:space="preserve">And that </w:t>
      </w:r>
      <w:r w:rsidR="00D56665">
        <w:rPr>
          <w:rFonts w:ascii="Century Gothic" w:eastAsia="Calibri" w:hAnsi="Century Gothic"/>
          <w:bCs/>
          <w:kern w:val="0"/>
          <w:sz w:val="20"/>
        </w:rPr>
        <w:t>their</w:t>
      </w:r>
      <w:r w:rsidRPr="00CB6540">
        <w:rPr>
          <w:rFonts w:ascii="Century Gothic" w:eastAsia="Calibri" w:hAnsi="Century Gothic"/>
          <w:bCs/>
          <w:kern w:val="0"/>
          <w:sz w:val="20"/>
        </w:rPr>
        <w:t xml:space="preserve"> spiritual, moral, social and cultural development is promoted to prepare them to become valued members of an ever-changing, multi-cultural society</w:t>
      </w:r>
    </w:p>
    <w:p w:rsidR="00CB6540" w:rsidRPr="00CB6540" w:rsidRDefault="00CB6540" w:rsidP="00CB6540">
      <w:pPr>
        <w:spacing w:after="160" w:line="259" w:lineRule="auto"/>
        <w:rPr>
          <w:rFonts w:ascii="Century Gothic" w:eastAsia="Calibri" w:hAnsi="Century Gothic"/>
          <w:b/>
          <w:bCs/>
          <w:kern w:val="0"/>
          <w:sz w:val="20"/>
        </w:rPr>
      </w:pPr>
    </w:p>
    <w:p w:rsidR="00461B16" w:rsidRDefault="00461B16" w:rsidP="00CB6540">
      <w:pPr>
        <w:spacing w:after="160" w:line="259" w:lineRule="auto"/>
        <w:rPr>
          <w:rFonts w:ascii="Century Gothic" w:eastAsia="Calibri" w:hAnsi="Century Gothic"/>
          <w:b/>
          <w:bCs/>
          <w:kern w:val="0"/>
          <w:sz w:val="20"/>
        </w:rPr>
      </w:pP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b/>
          <w:bCs/>
          <w:kern w:val="0"/>
          <w:sz w:val="20"/>
        </w:rPr>
        <w:lastRenderedPageBreak/>
        <w:t>What is PSHE?</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‘’Personal, social and health education (PSHE) helps to give children and young people the knowledge, skills and understanding they need to lead confident, healthy and independent lives.  It aims to help them understand how they are developing personally and socially, tackling many of the moral, social and cultural issues that are part of growing up.  It offers learning opportunities across and beyond the curriculum, in individual lessons as well as in groups.</w:t>
      </w:r>
    </w:p>
    <w:p w:rsidR="00CB6540" w:rsidRPr="00CB6540" w:rsidRDefault="00CB6540" w:rsidP="00CB6540">
      <w:pPr>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PSHE Framework:</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 xml:space="preserve">Bereavement </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Bullying</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On-line safety</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Appropriate mobile phone use</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Abuse</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Self-harm</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Terrorism</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Safety on the streets</w:t>
      </w:r>
    </w:p>
    <w:p w:rsidR="00CB6540" w:rsidRPr="00CB6540" w:rsidRDefault="00CB6540" w:rsidP="00CB6540">
      <w:pPr>
        <w:numPr>
          <w:ilvl w:val="0"/>
          <w:numId w:val="8"/>
        </w:num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 xml:space="preserve">Previous experiences </w:t>
      </w:r>
    </w:p>
    <w:p w:rsidR="00CB6540" w:rsidRDefault="00CB6540" w:rsidP="00CB6540">
      <w:pPr>
        <w:spacing w:after="160" w:line="259" w:lineRule="auto"/>
        <w:rPr>
          <w:rFonts w:ascii="Century Gothic" w:eastAsia="Calibri" w:hAnsi="Century Gothic"/>
          <w:b/>
          <w:kern w:val="0"/>
          <w:sz w:val="22"/>
          <w:szCs w:val="22"/>
        </w:rPr>
      </w:pPr>
    </w:p>
    <w:p w:rsidR="00CB6540" w:rsidRPr="00CB6540" w:rsidRDefault="00CB6540" w:rsidP="00CB6540">
      <w:pPr>
        <w:spacing w:after="160" w:line="259" w:lineRule="auto"/>
        <w:rPr>
          <w:rFonts w:ascii="Century Gothic" w:eastAsia="Calibri" w:hAnsi="Century Gothic"/>
          <w:b/>
          <w:kern w:val="0"/>
          <w:sz w:val="22"/>
          <w:szCs w:val="22"/>
        </w:rPr>
      </w:pPr>
      <w:r w:rsidRPr="00CB6540">
        <w:rPr>
          <w:rFonts w:ascii="Century Gothic" w:eastAsia="Calibri" w:hAnsi="Century Gothic"/>
          <w:b/>
          <w:kern w:val="0"/>
          <w:sz w:val="22"/>
          <w:szCs w:val="22"/>
        </w:rPr>
        <w:t>What is SRE</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b/>
          <w:bCs/>
          <w:kern w:val="0"/>
          <w:sz w:val="20"/>
        </w:rPr>
        <w:t xml:space="preserve">Definition of SRE: </w:t>
      </w:r>
      <w:r w:rsidRPr="00CB6540">
        <w:rPr>
          <w:rFonts w:ascii="Century Gothic" w:eastAsia="Calibri" w:hAnsi="Century Gothic"/>
          <w:kern w:val="0"/>
          <w:sz w:val="20"/>
        </w:rPr>
        <w:t>SRE Guidance (DfES 2000) provides the following definition:</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“It is lifelong learning about physical, moral and emotional development. It is about the understanding of the importance of marriage for family life, stable and loving relationships, respect, love and care. It is also about the teaching of sex, sexuality, and sexual health. It is not about the promotion of sexual orientation or sexual activity – this would be inappropriate teaching.”</w:t>
      </w: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SRE has three main elements:</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Attitudes and values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importance of values and individual conscience and moral considerations;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value of family life, marriage, and stable and loving relationships;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value of respect, love and care;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exploring, considering and understanding moral dilemmas; and</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developing critical thinking as part of decision-making.</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Personal and social skills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to manage emotions and relationships confidently and sensitively;</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developing self-respect and empathy for others;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to make choices based on an understanding of difference and with an absence of prejudice;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developing an appreciation of the consequences of choices made;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Managing conflict; and</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how to recognise and avoid exploitation and abuse.</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lastRenderedPageBreak/>
        <w:t>Knowledge and understanding</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and understanding physical development at appropriate stages;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understanding human sexuality, reproduction, sexual health, emotions and relationships;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about contraception; and</w:t>
      </w:r>
    </w:p>
    <w:p w:rsid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the avoidance of unplanned pregnancy.</w:t>
      </w:r>
    </w:p>
    <w:p w:rsidR="00221F12" w:rsidRDefault="00221F12" w:rsidP="00221F12">
      <w:pPr>
        <w:spacing w:after="160" w:line="259" w:lineRule="auto"/>
        <w:contextualSpacing/>
        <w:rPr>
          <w:rFonts w:ascii="Century Gothic" w:eastAsia="Calibri" w:hAnsi="Century Gothic"/>
          <w:kern w:val="0"/>
          <w:sz w:val="20"/>
        </w:rPr>
      </w:pPr>
    </w:p>
    <w:p w:rsidR="00221F12" w:rsidRPr="00221F12" w:rsidRDefault="00221F12" w:rsidP="00221F12">
      <w:pPr>
        <w:pStyle w:val="1bodycopy10pt"/>
        <w:rPr>
          <w:rFonts w:ascii="Century Gothic" w:hAnsi="Century Gothic" w:cs="Calibri"/>
          <w:b/>
        </w:rPr>
      </w:pPr>
      <w:r w:rsidRPr="00221F12">
        <w:rPr>
          <w:rFonts w:ascii="Century Gothic" w:hAnsi="Century Gothic" w:cs="Calibri"/>
          <w:b/>
        </w:rPr>
        <w:t>Aims</w:t>
      </w:r>
    </w:p>
    <w:p w:rsidR="00221F12" w:rsidRPr="00221F12" w:rsidRDefault="00221F12" w:rsidP="00221F12">
      <w:pPr>
        <w:pStyle w:val="1bodycopy10pt"/>
        <w:rPr>
          <w:rFonts w:ascii="Century Gothic" w:hAnsi="Century Gothic" w:cs="Calibri"/>
        </w:rPr>
      </w:pPr>
      <w:r w:rsidRPr="00221F12">
        <w:rPr>
          <w:rFonts w:ascii="Century Gothic" w:hAnsi="Century Gothic" w:cs="Calibri"/>
        </w:rPr>
        <w:t>The aims of relationships and sex education (RSE) at our school</w:t>
      </w:r>
      <w:r w:rsidR="00D56665">
        <w:rPr>
          <w:rFonts w:ascii="Century Gothic" w:hAnsi="Century Gothic" w:cs="Calibri"/>
        </w:rPr>
        <w:t xml:space="preserve"> and college</w:t>
      </w:r>
      <w:r w:rsidRPr="00221F12">
        <w:rPr>
          <w:rFonts w:ascii="Century Gothic" w:hAnsi="Century Gothic" w:cs="Calibri"/>
        </w:rPr>
        <w:t xml:space="preserve"> are to:</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Provide a framework in which sensitive discussions can take place</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 xml:space="preserve">Prepare </w:t>
      </w:r>
      <w:r w:rsidR="00D56665">
        <w:rPr>
          <w:rFonts w:ascii="Century Gothic" w:hAnsi="Century Gothic" w:cs="Calibri"/>
        </w:rPr>
        <w:t xml:space="preserve">children (in our school) </w:t>
      </w:r>
      <w:r w:rsidRPr="00221F12">
        <w:rPr>
          <w:rFonts w:ascii="Century Gothic" w:hAnsi="Century Gothic" w:cs="Calibri"/>
        </w:rPr>
        <w:t>for puberty, and give them an understanding of sexual development and the importance of health and hygiene</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 xml:space="preserve">Help </w:t>
      </w:r>
      <w:r w:rsidR="00D56665">
        <w:rPr>
          <w:rFonts w:ascii="Century Gothic" w:hAnsi="Century Gothic" w:cs="Calibri"/>
        </w:rPr>
        <w:t>children and young people</w:t>
      </w:r>
      <w:r w:rsidRPr="00221F12">
        <w:rPr>
          <w:rFonts w:ascii="Century Gothic" w:hAnsi="Century Gothic" w:cs="Calibri"/>
        </w:rPr>
        <w:t xml:space="preserve"> develop feelings of self-respect, confidence and empathy</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Create a positive culture around issues of sexuality and relationships</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Teach pupils the correct vocabulary to describe themselves and their bodies</w:t>
      </w:r>
    </w:p>
    <w:p w:rsidR="00221F12" w:rsidRPr="00CB6540" w:rsidRDefault="00221F12" w:rsidP="00221F12">
      <w:pPr>
        <w:spacing w:after="160" w:line="259" w:lineRule="auto"/>
        <w:contextualSpacing/>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 xml:space="preserve">RSE Framework </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David Lewis </w:t>
      </w:r>
      <w:r w:rsidR="00221F12">
        <w:rPr>
          <w:rFonts w:ascii="Century Gothic" w:eastAsia="Calibri" w:hAnsi="Century Gothic"/>
          <w:kern w:val="0"/>
          <w:sz w:val="20"/>
        </w:rPr>
        <w:t>School</w:t>
      </w:r>
      <w:r w:rsidRPr="00CB6540">
        <w:rPr>
          <w:rFonts w:ascii="Century Gothic" w:eastAsia="Calibri" w:hAnsi="Century Gothic"/>
          <w:kern w:val="0"/>
          <w:sz w:val="20"/>
        </w:rPr>
        <w:t xml:space="preserve"> follows the award winning NHS Leeds framework: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Respect for others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Non-exploitation in relationships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Commitment and trust in relationships</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Puberty and sexuality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Mutuality in relationships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Honesty with self and others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An exploration of rights, duties and responsibilities in sexual relationships </w:t>
      </w:r>
    </w:p>
    <w:p w:rsidR="00CB6540" w:rsidRPr="00CB6540" w:rsidRDefault="00CB6540" w:rsidP="00CB6540">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An acknowledgement and understanding of diversity regarding religion, culture and sexual orientation. </w:t>
      </w:r>
    </w:p>
    <w:p w:rsidR="00CB6540" w:rsidRPr="00CB6540" w:rsidRDefault="00CB6540" w:rsidP="00CB6540">
      <w:pPr>
        <w:spacing w:after="160" w:line="259" w:lineRule="auto"/>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Confidentiality</w:t>
      </w:r>
    </w:p>
    <w:p w:rsid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Confidentiality cannot be guaranteed. If anything is shared with staff that they feel puts a young person in danger they will share this with the David Lewis safeguarding team. The boundaries of confidentiality will be made clear to young people.</w:t>
      </w: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Safeguarding</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Due to the nature of material being shared and discussed, disclosures of a sensitive nature may be made. In this instance PSHE trained professionals will refer and liaise with the PSHE/ SRE lead as well as the lead safeguarding officer.</w:t>
      </w:r>
    </w:p>
    <w:p w:rsidR="00CB6540" w:rsidRPr="00CB6540" w:rsidRDefault="00CB6540" w:rsidP="00CB6540">
      <w:pPr>
        <w:spacing w:after="160" w:line="259" w:lineRule="auto"/>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Who is responsible for co-ordinating the subject?</w:t>
      </w:r>
    </w:p>
    <w:p w:rsidR="00D56665" w:rsidRDefault="00D56665"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lastRenderedPageBreak/>
        <w:t xml:space="preserve">Joanne Hall - PHSE Lead </w:t>
      </w:r>
    </w:p>
    <w:p w:rsidR="00D56665" w:rsidRDefault="00D56665"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Kirsty Stanley – Student Support Coordinator College</w:t>
      </w:r>
    </w:p>
    <w:p w:rsidR="00CB6540" w:rsidRDefault="00461B16"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Hannah Phillips</w:t>
      </w:r>
      <w:r w:rsidR="00CB6540" w:rsidRPr="00CB6540">
        <w:rPr>
          <w:rFonts w:ascii="Century Gothic" w:eastAsia="Calibri" w:hAnsi="Century Gothic"/>
          <w:bCs/>
          <w:kern w:val="0"/>
          <w:sz w:val="20"/>
        </w:rPr>
        <w:t xml:space="preserve">- Student Support Coordinator </w:t>
      </w:r>
      <w:r w:rsidR="00D56665">
        <w:rPr>
          <w:rFonts w:ascii="Century Gothic" w:eastAsia="Calibri" w:hAnsi="Century Gothic"/>
          <w:bCs/>
          <w:kern w:val="0"/>
          <w:sz w:val="20"/>
        </w:rPr>
        <w:t>School</w:t>
      </w:r>
    </w:p>
    <w:p w:rsidR="00D56665" w:rsidRPr="00CB6540" w:rsidRDefault="00D56665" w:rsidP="00CB6540">
      <w:pPr>
        <w:spacing w:after="160" w:line="259" w:lineRule="auto"/>
        <w:rPr>
          <w:rFonts w:ascii="Calibri" w:eastAsia="Calibri" w:hAnsi="Calibri"/>
          <w:kern w:val="0"/>
          <w:sz w:val="22"/>
          <w:szCs w:val="22"/>
        </w:rPr>
      </w:pPr>
    </w:p>
    <w:p w:rsidR="00532CBD" w:rsidRPr="00532CBD" w:rsidRDefault="00532CBD" w:rsidP="00532CBD">
      <w:pPr>
        <w:rPr>
          <w:rFonts w:ascii="Century Gothic" w:hAnsi="Century Gothic" w:cs="Arial"/>
          <w:b/>
          <w:sz w:val="22"/>
          <w:szCs w:val="22"/>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b/>
          <w:bCs/>
          <w:color w:val="000000"/>
          <w:kern w:val="0"/>
          <w:sz w:val="20"/>
        </w:rPr>
        <w:t xml:space="preserve">Monitoring, Evaluation and Review </w:t>
      </w:r>
    </w:p>
    <w:p w:rsidR="00875BFB" w:rsidRPr="00875BFB" w:rsidRDefault="00875BFB" w:rsidP="00875BFB">
      <w:pPr>
        <w:autoSpaceDE w:val="0"/>
        <w:autoSpaceDN w:val="0"/>
        <w:adjustRightInd w:val="0"/>
        <w:rPr>
          <w:rFonts w:ascii="Arial" w:eastAsiaTheme="minorHAnsi" w:hAnsi="Arial" w:cs="Arial"/>
          <w:color w:val="000000"/>
          <w:kern w:val="0"/>
          <w:sz w:val="22"/>
          <w:szCs w:val="22"/>
        </w:rPr>
      </w:pPr>
    </w:p>
    <w:p w:rsidR="00875BFB" w:rsidRPr="00CB6540" w:rsidRDefault="00D56665" w:rsidP="00875BFB">
      <w:pPr>
        <w:autoSpaceDE w:val="0"/>
        <w:autoSpaceDN w:val="0"/>
        <w:adjustRightInd w:val="0"/>
        <w:rPr>
          <w:rFonts w:ascii="Century Gothic" w:eastAsiaTheme="minorHAnsi" w:hAnsi="Century Gothic" w:cs="Arial"/>
          <w:color w:val="000000"/>
          <w:kern w:val="0"/>
          <w:sz w:val="20"/>
        </w:rPr>
      </w:pPr>
      <w:r>
        <w:rPr>
          <w:rFonts w:ascii="Century Gothic" w:eastAsiaTheme="minorHAnsi" w:hAnsi="Century Gothic" w:cs="Arial"/>
          <w:color w:val="000000"/>
          <w:kern w:val="0"/>
          <w:sz w:val="20"/>
        </w:rPr>
        <w:t>We</w:t>
      </w:r>
      <w:bookmarkStart w:id="0" w:name="_GoBack"/>
      <w:bookmarkEnd w:id="0"/>
      <w:r w:rsidR="00875BFB" w:rsidRPr="00CB6540">
        <w:rPr>
          <w:rFonts w:ascii="Century Gothic" w:eastAsiaTheme="minorHAnsi" w:hAnsi="Century Gothic" w:cs="Arial"/>
          <w:color w:val="000000"/>
          <w:kern w:val="0"/>
          <w:sz w:val="20"/>
        </w:rPr>
        <w:t xml:space="preserve"> will review this policy regularly and assess its implementation and effectiveness. </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Signed:-Angie Fisher Director of Education</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875BFB" w:rsidRPr="00875BFB" w:rsidRDefault="00875BFB" w:rsidP="00875BFB">
      <w:pPr>
        <w:spacing w:after="200" w:line="276" w:lineRule="auto"/>
        <w:rPr>
          <w:rFonts w:ascii="Arial" w:eastAsiaTheme="minorHAnsi" w:hAnsi="Arial" w:cs="Arial"/>
          <w:kern w:val="0"/>
          <w:sz w:val="22"/>
          <w:szCs w:val="22"/>
        </w:rPr>
      </w:pPr>
    </w:p>
    <w:p w:rsidR="00EB4814" w:rsidRDefault="00EB4814"/>
    <w:sectPr w:rsidR="00EB481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7F" w:rsidRDefault="000D1D7F" w:rsidP="00532CBD">
      <w:r>
        <w:separator/>
      </w:r>
    </w:p>
  </w:endnote>
  <w:endnote w:type="continuationSeparator" w:id="0">
    <w:p w:rsidR="000D1D7F" w:rsidRDefault="000D1D7F" w:rsidP="0053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00"/>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2523"/>
      <w:docPartObj>
        <w:docPartGallery w:val="Page Numbers (Bottom of Page)"/>
        <w:docPartUnique/>
      </w:docPartObj>
    </w:sdtPr>
    <w:sdtEndPr>
      <w:rPr>
        <w:noProof/>
      </w:rPr>
    </w:sdtEndPr>
    <w:sdtContent>
      <w:p w:rsidR="00532CBD" w:rsidRDefault="00532CBD">
        <w:pPr>
          <w:pStyle w:val="Footer"/>
          <w:jc w:val="right"/>
        </w:pPr>
        <w:r>
          <w:fldChar w:fldCharType="begin"/>
        </w:r>
        <w:r>
          <w:instrText xml:space="preserve"> PAGE   \* MERGEFORMAT </w:instrText>
        </w:r>
        <w:r>
          <w:fldChar w:fldCharType="separate"/>
        </w:r>
        <w:r w:rsidR="00D56665">
          <w:rPr>
            <w:noProof/>
          </w:rPr>
          <w:t>5</w:t>
        </w:r>
        <w:r>
          <w:rPr>
            <w:noProof/>
          </w:rPr>
          <w:fldChar w:fldCharType="end"/>
        </w:r>
      </w:p>
    </w:sdtContent>
  </w:sdt>
  <w:p w:rsidR="00532CBD" w:rsidRDefault="0053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7F" w:rsidRDefault="000D1D7F" w:rsidP="00532CBD">
      <w:r>
        <w:separator/>
      </w:r>
    </w:p>
  </w:footnote>
  <w:footnote w:type="continuationSeparator" w:id="0">
    <w:p w:rsidR="000D1D7F" w:rsidRDefault="000D1D7F" w:rsidP="0053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99D"/>
    <w:multiLevelType w:val="hybridMultilevel"/>
    <w:tmpl w:val="73502D74"/>
    <w:lvl w:ilvl="0" w:tplc="BF54AC1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E200F"/>
    <w:multiLevelType w:val="hybridMultilevel"/>
    <w:tmpl w:val="3DCE8986"/>
    <w:lvl w:ilvl="0" w:tplc="08090003">
      <w:start w:val="1"/>
      <w:numFmt w:val="bullet"/>
      <w:lvlText w:val="o"/>
      <w:lvlJc w:val="left"/>
      <w:pPr>
        <w:ind w:left="643" w:hanging="360"/>
      </w:pPr>
      <w:rPr>
        <w:rFonts w:ascii="Courier New" w:hAnsi="Courier New" w:cs="Courier New" w:hint="default"/>
      </w:rPr>
    </w:lvl>
    <w:lvl w:ilvl="1" w:tplc="8556A9DA">
      <w:numFmt w:val="bullet"/>
      <w:lvlText w:val="–"/>
      <w:lvlJc w:val="left"/>
      <w:pPr>
        <w:ind w:left="1363" w:hanging="360"/>
      </w:pPr>
      <w:rPr>
        <w:rFonts w:ascii="Calibri" w:eastAsiaTheme="minorHAnsi" w:hAnsi="Calibri" w:cs="Calibri"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21AD1D66"/>
    <w:multiLevelType w:val="hybridMultilevel"/>
    <w:tmpl w:val="1062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81D0D"/>
    <w:multiLevelType w:val="multilevel"/>
    <w:tmpl w:val="442259EA"/>
    <w:styleLink w:val="LFO2"/>
    <w:lvl w:ilvl="0">
      <w:numFmt w:val="bullet"/>
      <w:pStyle w:val="3Bulletedcopyblue"/>
      <w:lvlText w:val=""/>
      <w:lvlJc w:val="left"/>
      <w:pPr>
        <w:ind w:left="340" w:hanging="170"/>
      </w:pPr>
      <w:rPr>
        <w:rFonts w:ascii="Symbol" w:hAnsi="Symbol"/>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4" w15:restartNumberingAfterBreak="0">
    <w:nsid w:val="35745813"/>
    <w:multiLevelType w:val="hybridMultilevel"/>
    <w:tmpl w:val="39F4A91C"/>
    <w:lvl w:ilvl="0" w:tplc="08090003">
      <w:start w:val="1"/>
      <w:numFmt w:val="bullet"/>
      <w:lvlText w:val="o"/>
      <w:lvlJc w:val="left"/>
      <w:pPr>
        <w:ind w:left="720" w:hanging="360"/>
      </w:pPr>
      <w:rPr>
        <w:rFonts w:ascii="Courier New" w:hAnsi="Courier New" w:cs="Courier New" w:hint="default"/>
      </w:rPr>
    </w:lvl>
    <w:lvl w:ilvl="1" w:tplc="6F6E672A">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062BB"/>
    <w:multiLevelType w:val="hybridMultilevel"/>
    <w:tmpl w:val="C034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534B0"/>
    <w:multiLevelType w:val="hybridMultilevel"/>
    <w:tmpl w:val="FBC67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A5CBF"/>
    <w:multiLevelType w:val="hybridMultilevel"/>
    <w:tmpl w:val="9C2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34EAF"/>
    <w:multiLevelType w:val="hybridMultilevel"/>
    <w:tmpl w:val="9460B9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94BE1"/>
    <w:multiLevelType w:val="hybridMultilevel"/>
    <w:tmpl w:val="546E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0"/>
  </w:num>
  <w:num w:numId="6">
    <w:abstractNumId w:val="6"/>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9A"/>
    <w:rsid w:val="00087CF0"/>
    <w:rsid w:val="000B7608"/>
    <w:rsid w:val="000D1D7F"/>
    <w:rsid w:val="001C7E12"/>
    <w:rsid w:val="00221F12"/>
    <w:rsid w:val="00341319"/>
    <w:rsid w:val="00395D49"/>
    <w:rsid w:val="00461B16"/>
    <w:rsid w:val="004B1778"/>
    <w:rsid w:val="00532CBD"/>
    <w:rsid w:val="006F4219"/>
    <w:rsid w:val="00875BFB"/>
    <w:rsid w:val="008C3669"/>
    <w:rsid w:val="00947A9A"/>
    <w:rsid w:val="00A82179"/>
    <w:rsid w:val="00C91114"/>
    <w:rsid w:val="00C911B0"/>
    <w:rsid w:val="00CB6540"/>
    <w:rsid w:val="00CE2D29"/>
    <w:rsid w:val="00D324E1"/>
    <w:rsid w:val="00D56665"/>
    <w:rsid w:val="00EB4814"/>
    <w:rsid w:val="00EE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69A7"/>
  <w15:docId w15:val="{DBDE1CDE-FA4D-4527-87BA-DDDAF7DA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9A"/>
    <w:pPr>
      <w:spacing w:after="0" w:line="240" w:lineRule="auto"/>
    </w:pPr>
    <w:rPr>
      <w:rFonts w:ascii="Times New Roman" w:eastAsia="Times New Roman" w:hAnsi="Times New Roman" w:cs="Times New Roman"/>
      <w:kern w:val="24"/>
      <w:sz w:val="28"/>
      <w:szCs w:val="20"/>
    </w:rPr>
  </w:style>
  <w:style w:type="paragraph" w:styleId="Heading1">
    <w:name w:val="heading 1"/>
    <w:basedOn w:val="Normal"/>
    <w:next w:val="Normal"/>
    <w:link w:val="Heading1Char"/>
    <w:rsid w:val="00221F12"/>
    <w:pPr>
      <w:suppressAutoHyphens/>
      <w:autoSpaceDN w:val="0"/>
      <w:spacing w:before="120" w:after="120"/>
      <w:textAlignment w:val="baseline"/>
      <w:outlineLvl w:val="0"/>
    </w:pPr>
    <w:rPr>
      <w:rFonts w:ascii="Arial" w:eastAsia="Calibri" w:hAnsi="Arial" w:cs="Arial"/>
      <w:b/>
      <w:color w:val="FF1F64"/>
      <w:kern w:val="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A9A"/>
    <w:rPr>
      <w:rFonts w:ascii="Tahoma" w:hAnsi="Tahoma" w:cs="Tahoma"/>
      <w:sz w:val="16"/>
      <w:szCs w:val="16"/>
    </w:rPr>
  </w:style>
  <w:style w:type="character" w:customStyle="1" w:styleId="BalloonTextChar">
    <w:name w:val="Balloon Text Char"/>
    <w:basedOn w:val="DefaultParagraphFont"/>
    <w:link w:val="BalloonText"/>
    <w:uiPriority w:val="99"/>
    <w:semiHidden/>
    <w:rsid w:val="00947A9A"/>
    <w:rPr>
      <w:rFonts w:ascii="Tahoma" w:eastAsia="Times New Roman" w:hAnsi="Tahoma" w:cs="Tahoma"/>
      <w:kern w:val="24"/>
      <w:sz w:val="16"/>
      <w:szCs w:val="16"/>
    </w:rPr>
  </w:style>
  <w:style w:type="paragraph" w:styleId="Header">
    <w:name w:val="header"/>
    <w:basedOn w:val="Normal"/>
    <w:link w:val="HeaderChar"/>
    <w:uiPriority w:val="99"/>
    <w:unhideWhenUsed/>
    <w:rsid w:val="00532CBD"/>
    <w:pPr>
      <w:tabs>
        <w:tab w:val="center" w:pos="4513"/>
        <w:tab w:val="right" w:pos="9026"/>
      </w:tabs>
    </w:pPr>
  </w:style>
  <w:style w:type="character" w:customStyle="1" w:styleId="HeaderChar">
    <w:name w:val="Header Char"/>
    <w:basedOn w:val="DefaultParagraphFont"/>
    <w:link w:val="Header"/>
    <w:uiPriority w:val="99"/>
    <w:rsid w:val="00532CBD"/>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532CBD"/>
    <w:pPr>
      <w:tabs>
        <w:tab w:val="center" w:pos="4513"/>
        <w:tab w:val="right" w:pos="9026"/>
      </w:tabs>
    </w:pPr>
  </w:style>
  <w:style w:type="character" w:customStyle="1" w:styleId="FooterChar">
    <w:name w:val="Footer Char"/>
    <w:basedOn w:val="DefaultParagraphFont"/>
    <w:link w:val="Footer"/>
    <w:uiPriority w:val="99"/>
    <w:rsid w:val="00532CBD"/>
    <w:rPr>
      <w:rFonts w:ascii="Times New Roman" w:eastAsia="Times New Roman" w:hAnsi="Times New Roman" w:cs="Times New Roman"/>
      <w:kern w:val="24"/>
      <w:sz w:val="28"/>
      <w:szCs w:val="20"/>
    </w:rPr>
  </w:style>
  <w:style w:type="character" w:styleId="Hyperlink">
    <w:name w:val="Hyperlink"/>
    <w:basedOn w:val="DefaultParagraphFont"/>
    <w:uiPriority w:val="99"/>
    <w:unhideWhenUsed/>
    <w:rsid w:val="00532CBD"/>
    <w:rPr>
      <w:color w:val="0000FF" w:themeColor="hyperlink"/>
      <w:u w:val="single"/>
    </w:rPr>
  </w:style>
  <w:style w:type="paragraph" w:styleId="ListParagraph">
    <w:name w:val="List Paragraph"/>
    <w:basedOn w:val="Normal"/>
    <w:uiPriority w:val="34"/>
    <w:qFormat/>
    <w:rsid w:val="00341319"/>
    <w:pPr>
      <w:ind w:left="720"/>
      <w:contextualSpacing/>
    </w:pPr>
  </w:style>
  <w:style w:type="character" w:customStyle="1" w:styleId="Heading1Char">
    <w:name w:val="Heading 1 Char"/>
    <w:basedOn w:val="DefaultParagraphFont"/>
    <w:link w:val="Heading1"/>
    <w:rsid w:val="00221F12"/>
    <w:rPr>
      <w:rFonts w:ascii="Arial" w:eastAsia="Calibri" w:hAnsi="Arial" w:cs="Arial"/>
      <w:b/>
      <w:color w:val="FF1F64"/>
      <w:sz w:val="28"/>
      <w:szCs w:val="36"/>
    </w:rPr>
  </w:style>
  <w:style w:type="paragraph" w:customStyle="1" w:styleId="1bodycopy10pt">
    <w:name w:val="1 body copy 10pt"/>
    <w:basedOn w:val="Normal"/>
    <w:rsid w:val="00221F12"/>
    <w:pPr>
      <w:suppressAutoHyphens/>
      <w:autoSpaceDN w:val="0"/>
      <w:spacing w:after="120"/>
      <w:textAlignment w:val="baseline"/>
    </w:pPr>
    <w:rPr>
      <w:rFonts w:ascii="Arial" w:eastAsia="MS Mincho" w:hAnsi="Arial"/>
      <w:kern w:val="0"/>
      <w:sz w:val="20"/>
      <w:szCs w:val="24"/>
      <w:lang w:val="en-US"/>
    </w:rPr>
  </w:style>
  <w:style w:type="paragraph" w:customStyle="1" w:styleId="3Bulletedcopyblue">
    <w:name w:val="3 Bulleted copy blue"/>
    <w:basedOn w:val="Normal"/>
    <w:rsid w:val="00221F12"/>
    <w:pPr>
      <w:numPr>
        <w:numId w:val="10"/>
      </w:numPr>
      <w:suppressAutoHyphens/>
      <w:autoSpaceDN w:val="0"/>
      <w:spacing w:after="120"/>
      <w:textAlignment w:val="baseline"/>
    </w:pPr>
    <w:rPr>
      <w:rFonts w:ascii="Arial" w:eastAsia="MS Mincho" w:hAnsi="Arial" w:cs="Arial"/>
      <w:kern w:val="0"/>
      <w:sz w:val="20"/>
      <w:lang w:val="en-US"/>
    </w:rPr>
  </w:style>
  <w:style w:type="numbering" w:customStyle="1" w:styleId="LFO2">
    <w:name w:val="LFO2"/>
    <w:basedOn w:val="NoList"/>
    <w:rsid w:val="00221F1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A55F7786ACF4087BB2F50AEB471F8" ma:contentTypeVersion="0" ma:contentTypeDescription="Create a new document." ma:contentTypeScope="" ma:versionID="8d6dbd40e57488559cb5a2affcb2da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7963-B0A5-46D6-8FD8-D7C27EBA01D6}">
  <ds:schemaRefs>
    <ds:schemaRef ds:uri="http://schemas.microsoft.com/sharepoint/v3/contenttype/forms"/>
  </ds:schemaRefs>
</ds:datastoreItem>
</file>

<file path=customXml/itemProps2.xml><?xml version="1.0" encoding="utf-8"?>
<ds:datastoreItem xmlns:ds="http://schemas.openxmlformats.org/officeDocument/2006/customXml" ds:itemID="{C8CF8E80-4209-4B46-8A83-1140BCAD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4B52CA-4C5C-4167-8AFE-F8E630D640F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73FDB20-8DCB-4767-82E1-3A0DD55F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cp:revision>
  <cp:lastPrinted>2016-01-21T14:39:00Z</cp:lastPrinted>
  <dcterms:created xsi:type="dcterms:W3CDTF">2022-10-25T11:01:00Z</dcterms:created>
  <dcterms:modified xsi:type="dcterms:W3CDTF">2022-10-25T11:01:00Z</dcterms:modified>
</cp:coreProperties>
</file>